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247" w:tblpY="771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37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2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13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敛雾物联——图像去雾云平台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李静思</w:t>
            </w:r>
          </w:p>
        </w:tc>
        <w:tc>
          <w:tcPr>
            <w:tcW w:w="992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6379" w:type="dxa"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复杂散装商品自助估价系统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赵世豪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3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基于NB-IoT的奶牛养殖环境预警系统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练元洪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4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柔性交互的脑卒中智能康复辅助设备及系统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娄杰克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5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“瓶盖芯”——新时代防伪朔源引领者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邵杰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6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掌上明猪——基于物联网和区块链技术的猪肉可溯源平台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陶梦源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7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智慧医院物联网设备一线连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杨佩佩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8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基于行人安全的智能交通信号灯算法研究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谢懿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9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基于QT的气体监测报警控制器的开发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刘陈骏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10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面向冷链物流质量管理的物联感知服务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杨惠鑫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11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共享单车分布的合理化规划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李峰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12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危险废物处理全流程监管系统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翟晨阳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13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“握懂你”——老幼智能健康监测手环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李光先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14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基于边缘计算的车联网时延优化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文清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15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城市交通流量可视化与路径规划系统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段聪颖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16</w:t>
            </w:r>
          </w:p>
        </w:tc>
        <w:tc>
          <w:tcPr>
            <w:tcW w:w="6379" w:type="dxa"/>
            <w:noWrap/>
          </w:tcPr>
          <w:p>
            <w:pPr>
              <w:pStyle w:val="6"/>
              <w:spacing w:line="360" w:lineRule="auto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基于端边人机协同的驾驶员情绪检测系统</w:t>
            </w:r>
          </w:p>
        </w:tc>
        <w:tc>
          <w:tcPr>
            <w:tcW w:w="1134" w:type="dxa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都秉甲</w:t>
            </w:r>
          </w:p>
        </w:tc>
        <w:tc>
          <w:tcPr>
            <w:tcW w:w="992" w:type="dxa"/>
            <w:noWrap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三等奖</w:t>
            </w:r>
          </w:p>
        </w:tc>
      </w:tr>
    </w:tbl>
    <w:p>
      <w:pPr>
        <w:pStyle w:val="2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shd w:val="clear" w:color="auto" w:fill="FAFAF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物联网学院20</w:t>
      </w:r>
      <w:r>
        <w:rPr>
          <w:rFonts w:ascii="宋体" w:hAnsi="宋体" w:eastAsia="宋体" w:cs="宋体"/>
          <w:b/>
          <w:bCs/>
          <w:sz w:val="28"/>
          <w:szCs w:val="28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年“挑战杯”大学生创业计划竞赛选拔赛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AFAFA"/>
        </w:rPr>
        <w:t>评选结果</w:t>
      </w:r>
    </w:p>
    <w:p>
      <w:pPr>
        <w:pStyle w:val="6"/>
        <w:spacing w:line="360" w:lineRule="auto"/>
        <w:ind w:left="0" w:leftChars="0" w:firstLine="0" w:firstLineChars="0"/>
        <w:jc w:val="both"/>
        <w:rPr>
          <w:rStyle w:val="7"/>
          <w:rFonts w:hint="eastAsia" w:ascii="宋体" w:hAnsi="宋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47651"/>
    <w:rsid w:val="64D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Autospacing="1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79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416</Characters>
  <Lines>0</Lines>
  <Paragraphs>0</Paragraphs>
  <TotalTime>0</TotalTime>
  <ScaleCrop>false</ScaleCrop>
  <LinksUpToDate>false</LinksUpToDate>
  <CharactersWithSpaces>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2022-03-31T01:23:00Z</dcterms:created>
  <dc:creator>水漾薄荷</dc:creator>
  <cp:lastModifiedBy>水漾薄荷</cp:lastModifiedBy>
  <dcterms:modified xsi:type="dcterms:W3CDTF">2022-03-31T01:24:41Z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9AFFEDCC6CBF418AA823FFD0DCC1DC27</vt:lpwstr>
  </property>
</Properties>
</file>